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543C" w14:textId="7873930E" w:rsidR="009569EE" w:rsidRPr="00971D6A" w:rsidRDefault="00971D6A" w:rsidP="00383C5D">
      <w:pPr>
        <w:pStyle w:val="Title"/>
        <w:jc w:val="left"/>
        <w:rPr>
          <w:spacing w:val="0"/>
        </w:rPr>
      </w:pPr>
      <w:r>
        <w:rPr>
          <w:spacing w:val="0"/>
        </w:rPr>
        <w:t xml:space="preserve">Stakeholder </w:t>
      </w:r>
      <w:r w:rsidR="00EC31C0">
        <w:rPr>
          <w:spacing w:val="0"/>
        </w:rPr>
        <w:t>Response</w:t>
      </w:r>
      <w:r>
        <w:rPr>
          <w:spacing w:val="0"/>
        </w:rPr>
        <w:t xml:space="preserve"> </w:t>
      </w:r>
      <w:r w:rsidR="009716A5">
        <w:rPr>
          <w:spacing w:val="0"/>
        </w:rPr>
        <w:t>Form</w:t>
      </w:r>
    </w:p>
    <w:p w14:paraId="327585C2" w14:textId="33F7643B" w:rsidR="00DB667C" w:rsidRPr="00DB667C" w:rsidRDefault="00B57BCE" w:rsidP="00DB667C">
      <w:sdt>
        <w:sdtPr>
          <w:alias w:val="Date"/>
          <w:tag w:val="Date"/>
          <w:id w:val="-1887720046"/>
          <w:placeholder>
            <w:docPart w:val="682D2E87016E41F5B9EEEA958DFDAA34"/>
          </w:placeholder>
          <w:date w:fullDate="2024-12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7561D" w:rsidRPr="00227556">
            <w:t xml:space="preserve">December </w:t>
          </w:r>
          <w:r w:rsidR="004D0C4D">
            <w:t>20</w:t>
          </w:r>
          <w:r w:rsidR="0017561D" w:rsidRPr="00227556">
            <w:t>, 2024</w:t>
          </w:r>
        </w:sdtContent>
      </w:sdt>
    </w:p>
    <w:p w14:paraId="03953FE0" w14:textId="5B75D2D8" w:rsidR="00CF75DA" w:rsidRPr="00CF75DA" w:rsidRDefault="00607666" w:rsidP="00BE4099">
      <w:pPr>
        <w:pStyle w:val="Subject"/>
        <w:spacing w:line="240" w:lineRule="auto"/>
      </w:pPr>
      <w:r w:rsidRPr="00CF75DA">
        <w:t>RE:</w:t>
      </w:r>
      <w:r w:rsidRPr="00CF75DA">
        <w:tab/>
      </w:r>
      <w:sdt>
        <w:sdtPr>
          <w:rPr>
            <w:rStyle w:val="SubjectChar"/>
          </w:rPr>
          <w:alias w:val="Subject"/>
          <w:tag w:val="Subject"/>
          <w:id w:val="-1610265021"/>
          <w:placeholder>
            <w:docPart w:val="DefaultPlaceholder_-1854013440"/>
          </w:placeholder>
        </w:sdtPr>
        <w:sdtEndPr>
          <w:rPr>
            <w:rStyle w:val="DefaultParagraphFont"/>
            <w:b/>
          </w:rPr>
        </w:sdtEndPr>
        <w:sdtContent>
          <w:r w:rsidR="0017561D" w:rsidRPr="0017561D">
            <w:t>MSA stakeholder consultation on</w:t>
          </w:r>
          <w:r w:rsidR="0017561D" w:rsidRPr="0017561D">
            <w:rPr>
              <w:i/>
              <w:iCs/>
            </w:rPr>
            <w:t xml:space="preserve"> Rate of Last Resort Regulation</w:t>
          </w:r>
          <w:r w:rsidR="0017561D" w:rsidRPr="0017561D">
            <w:t xml:space="preserve"> MSA activities</w:t>
          </w:r>
        </w:sdtContent>
      </w:sdt>
    </w:p>
    <w:p w14:paraId="5F9EF8AF" w14:textId="3C87D188" w:rsidR="00FE72E7" w:rsidRDefault="0017561D" w:rsidP="00FE72E7">
      <w:pPr>
        <w:pStyle w:val="Heading1"/>
      </w:pPr>
      <w:r>
        <w:t>Background</w:t>
      </w:r>
    </w:p>
    <w:p w14:paraId="6489CB57" w14:textId="637F496D" w:rsidR="00E80FB8" w:rsidRDefault="00E80FB8" w:rsidP="00E80FB8">
      <w:r>
        <w:t xml:space="preserve">On December </w:t>
      </w:r>
      <w:r w:rsidR="004D0C4D">
        <w:t>20</w:t>
      </w:r>
      <w:r>
        <w:t>, 2024, the MSA initiated its stakeholder consultation</w:t>
      </w:r>
      <w:r w:rsidR="00660A37">
        <w:t xml:space="preserve"> on the MSA’s activities required by the </w:t>
      </w:r>
      <w:r w:rsidR="00660A37">
        <w:rPr>
          <w:i/>
          <w:iCs/>
        </w:rPr>
        <w:t>Rate of Last Resort Regulation</w:t>
      </w:r>
      <w:r w:rsidR="00660A37">
        <w:t xml:space="preserve"> (AR 262/2005) (RoLR Regulation)</w:t>
      </w:r>
      <w:r>
        <w:t xml:space="preserve">. </w:t>
      </w:r>
      <w:r w:rsidR="00660A37">
        <w:t xml:space="preserve">More information on this stakeholder consultation is available </w:t>
      </w:r>
      <w:hyperlink r:id="rId11" w:history="1">
        <w:r w:rsidR="00660A37" w:rsidRPr="00B57BCE">
          <w:rPr>
            <w:rStyle w:val="Hyperlink"/>
          </w:rPr>
          <w:t>h</w:t>
        </w:r>
        <w:r w:rsidR="00660A37" w:rsidRPr="00B57BCE">
          <w:rPr>
            <w:rStyle w:val="Hyperlink"/>
          </w:rPr>
          <w:t>e</w:t>
        </w:r>
        <w:r w:rsidR="00660A37" w:rsidRPr="00B57BCE">
          <w:rPr>
            <w:rStyle w:val="Hyperlink"/>
          </w:rPr>
          <w:t>re</w:t>
        </w:r>
      </w:hyperlink>
      <w:r w:rsidR="00660A37">
        <w:t>.</w:t>
      </w:r>
    </w:p>
    <w:p w14:paraId="781016E5" w14:textId="27AA1007" w:rsidR="00660A37" w:rsidRDefault="00660A37" w:rsidP="00E80FB8">
      <w:r>
        <w:t>The MSA</w:t>
      </w:r>
      <w:r w:rsidR="00AF09F7">
        <w:t>’s Initial Assessment consists of questions intended to</w:t>
      </w:r>
      <w:r w:rsidR="00FB66E1">
        <w:t xml:space="preserve"> solicit feedback </w:t>
      </w:r>
      <w:proofErr w:type="gramStart"/>
      <w:r w:rsidR="00FB66E1">
        <w:t>on:</w:t>
      </w:r>
      <w:proofErr w:type="gramEnd"/>
      <w:r w:rsidR="00FB66E1">
        <w:t xml:space="preserve"> </w:t>
      </w:r>
      <w:r w:rsidR="00AF09F7">
        <w:t>appropriate measures of financial performance</w:t>
      </w:r>
      <w:r w:rsidR="00FB66E1">
        <w:t xml:space="preserve">, </w:t>
      </w:r>
      <w:r w:rsidR="00AF09F7">
        <w:t xml:space="preserve">the acceptable financial performance </w:t>
      </w:r>
      <w:r w:rsidR="00580874">
        <w:t>parameters</w:t>
      </w:r>
      <w:r w:rsidR="00AF09F7">
        <w:t xml:space="preserve">, and </w:t>
      </w:r>
      <w:r w:rsidR="00FB66E1">
        <w:t>attributes of the MSA’s financial performance reports.</w:t>
      </w:r>
    </w:p>
    <w:p w14:paraId="18F75BA6" w14:textId="03CFBDF5" w:rsidR="009716A5" w:rsidRPr="00E80FB8" w:rsidRDefault="009716A5" w:rsidP="00E80FB8">
      <w:r>
        <w:t>The MSA is requesting responses</w:t>
      </w:r>
      <w:r w:rsidR="003041D5">
        <w:t xml:space="preserve"> from </w:t>
      </w:r>
      <w:r w:rsidR="008C77C1">
        <w:t>participants</w:t>
      </w:r>
      <w:r w:rsidR="003041D5">
        <w:t xml:space="preserve"> </w:t>
      </w:r>
      <w:r w:rsidR="00D54B21">
        <w:t xml:space="preserve">with an interest in </w:t>
      </w:r>
      <w:r w:rsidR="003041D5">
        <w:t xml:space="preserve">the Rate of Last Resort (RoLR) acceptable financial performance </w:t>
      </w:r>
      <w:r w:rsidR="00580874">
        <w:t>parameters</w:t>
      </w:r>
      <w:r w:rsidR="003041D5">
        <w:t>.</w:t>
      </w:r>
    </w:p>
    <w:p w14:paraId="20F19E04" w14:textId="2DA8A624" w:rsidR="0017561D" w:rsidRDefault="0017561D" w:rsidP="0017561D">
      <w:pPr>
        <w:pStyle w:val="Heading1"/>
      </w:pPr>
      <w:r>
        <w:t xml:space="preserve">Request for </w:t>
      </w:r>
      <w:r w:rsidR="00916F94">
        <w:t>Responses</w:t>
      </w:r>
    </w:p>
    <w:p w14:paraId="20F379DD" w14:textId="5B00A9FE" w:rsidR="0017561D" w:rsidRDefault="0017561D" w:rsidP="0017561D">
      <w:pPr>
        <w:pStyle w:val="Heading2"/>
      </w:pPr>
      <w:r>
        <w:t>Instructions</w:t>
      </w:r>
    </w:p>
    <w:p w14:paraId="1D2FCAB5" w14:textId="6809E80F" w:rsidR="0063307F" w:rsidRDefault="009716A5" w:rsidP="0017561D">
      <w:r>
        <w:t>Use</w:t>
      </w:r>
      <w:r w:rsidR="003041D5">
        <w:t xml:space="preserve"> the</w:t>
      </w:r>
      <w:r>
        <w:t xml:space="preserve"> form fields to provide responses to the questions listed in the following subsections. </w:t>
      </w:r>
      <w:r w:rsidR="003041D5">
        <w:t>Please submit responses to the MSA’s</w:t>
      </w:r>
      <w:r w:rsidR="006D0DBB">
        <w:t xml:space="preserve"> stak</w:t>
      </w:r>
      <w:r w:rsidR="00916F94">
        <w:t>eholder consultation inbox (</w:t>
      </w:r>
      <w:hyperlink r:id="rId12" w:history="1">
        <w:r w:rsidR="00916F94" w:rsidRPr="00E33A62">
          <w:rPr>
            <w:rStyle w:val="Hyperlink"/>
          </w:rPr>
          <w:t>MSAStakeholderConsultation@albertamsa.ca</w:t>
        </w:r>
      </w:hyperlink>
      <w:r w:rsidR="00916F94" w:rsidRPr="00916F94">
        <w:rPr>
          <w:rStyle w:val="Hyperlink"/>
          <w:color w:val="000000" w:themeColor="text1"/>
          <w:u w:val="none"/>
        </w:rPr>
        <w:t xml:space="preserve">) by 5:00 pm, </w:t>
      </w:r>
      <w:r w:rsidR="00227556">
        <w:rPr>
          <w:rStyle w:val="Hyperlink"/>
          <w:color w:val="000000" w:themeColor="text1"/>
          <w:u w:val="none"/>
        </w:rPr>
        <w:t>January 1</w:t>
      </w:r>
      <w:r w:rsidR="00E8798F">
        <w:rPr>
          <w:rStyle w:val="Hyperlink"/>
          <w:color w:val="000000" w:themeColor="text1"/>
          <w:u w:val="none"/>
        </w:rPr>
        <w:t>7</w:t>
      </w:r>
      <w:r w:rsidR="00227556">
        <w:rPr>
          <w:rStyle w:val="Hyperlink"/>
          <w:color w:val="000000" w:themeColor="text1"/>
          <w:u w:val="none"/>
        </w:rPr>
        <w:t>, 2025</w:t>
      </w:r>
      <w:r w:rsidR="00916F94" w:rsidRPr="00916F94">
        <w:rPr>
          <w:rStyle w:val="Hyperlink"/>
          <w:color w:val="000000" w:themeColor="text1"/>
          <w:u w:val="none"/>
        </w:rPr>
        <w:t>.</w:t>
      </w:r>
      <w:r w:rsidR="003041D5" w:rsidRPr="00916F94">
        <w:rPr>
          <w:color w:val="000000" w:themeColor="text1"/>
        </w:rPr>
        <w:t xml:space="preserve"> </w:t>
      </w:r>
      <w:r w:rsidR="001803F2">
        <w:rPr>
          <w:color w:val="000000" w:themeColor="text1"/>
        </w:rPr>
        <w:t>Please only submit one set of responses per organization.</w:t>
      </w:r>
      <w:r w:rsidR="00C06FD7">
        <w:t xml:space="preserve"> </w:t>
      </w:r>
      <w:r w:rsidR="00EC31C0">
        <w:t xml:space="preserve">The MSA intends to publish written responses shortly after </w:t>
      </w:r>
      <w:r w:rsidR="00227556">
        <w:rPr>
          <w:rStyle w:val="Hyperlink"/>
          <w:color w:val="000000" w:themeColor="text1"/>
          <w:u w:val="none"/>
        </w:rPr>
        <w:t>January 1</w:t>
      </w:r>
      <w:r w:rsidR="00E8798F">
        <w:rPr>
          <w:rStyle w:val="Hyperlink"/>
          <w:color w:val="000000" w:themeColor="text1"/>
          <w:u w:val="none"/>
        </w:rPr>
        <w:t>7</w:t>
      </w:r>
      <w:r w:rsidR="00227556">
        <w:rPr>
          <w:rStyle w:val="Hyperlink"/>
          <w:color w:val="000000" w:themeColor="text1"/>
          <w:u w:val="none"/>
        </w:rPr>
        <w:t>, 2025</w:t>
      </w:r>
      <w:r w:rsidR="00EC31C0">
        <w:t xml:space="preserve">. </w:t>
      </w:r>
      <w:r w:rsidR="00FA2FFD">
        <w:t>Please feel free to focus your comments on areas of most relevance to your organization.</w:t>
      </w:r>
    </w:p>
    <w:p w14:paraId="6EE4FC3A" w14:textId="77777777" w:rsidR="00BF5EC7" w:rsidRDefault="00BF5EC7" w:rsidP="0017561D"/>
    <w:p w14:paraId="354B77AB" w14:textId="77777777" w:rsidR="00BF5EC7" w:rsidRDefault="00BF5EC7" w:rsidP="0017561D"/>
    <w:p w14:paraId="4E4F9E86" w14:textId="74C55544" w:rsidR="0063307F" w:rsidRDefault="0063307F" w:rsidP="0063307F">
      <w:pPr>
        <w:pStyle w:val="Heading2"/>
      </w:pPr>
      <w:r>
        <w:lastRenderedPageBreak/>
        <w:t>Measures of Financial Performance</w:t>
      </w:r>
    </w:p>
    <w:p w14:paraId="62EA1C9A" w14:textId="0827FEA5" w:rsidR="0063307F" w:rsidRPr="003F6095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Scope</w:t>
      </w:r>
      <w:r w:rsidRPr="003F6095">
        <w:rPr>
          <w:i/>
          <w:iCs/>
        </w:rPr>
        <w:t xml:space="preserve">: Should the measure capture financial performance across all business functions of the </w:t>
      </w:r>
      <w:r w:rsidR="004175C1">
        <w:rPr>
          <w:i/>
          <w:iCs/>
        </w:rPr>
        <w:t>regulated rate tariff (</w:t>
      </w:r>
      <w:r w:rsidRPr="003F6095">
        <w:rPr>
          <w:i/>
          <w:iCs/>
        </w:rPr>
        <w:t>RRT</w:t>
      </w:r>
      <w:r w:rsidR="004175C1">
        <w:rPr>
          <w:i/>
          <w:iCs/>
        </w:rPr>
        <w:t>)</w:t>
      </w:r>
      <w:r w:rsidRPr="003F6095">
        <w:rPr>
          <w:i/>
          <w:iCs/>
        </w:rPr>
        <w:t>, or only the financial performance applicable to the provision of RoLR Energy Prices?</w:t>
      </w:r>
    </w:p>
    <w:sdt>
      <w:sdtPr>
        <w:id w:val="-1494644004"/>
        <w:placeholder>
          <w:docPart w:val="DefaultPlaceholder_-1854013440"/>
        </w:placeholder>
        <w:showingPlcHdr/>
      </w:sdtPr>
      <w:sdtEndPr/>
      <w:sdtContent>
        <w:p w14:paraId="613358C0" w14:textId="365A9937" w:rsidR="0063307F" w:rsidRDefault="003F6095" w:rsidP="0063307F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4A582087" w14:textId="77777777" w:rsidR="0063307F" w:rsidRPr="003F6095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Time Horizon</w:t>
      </w:r>
      <w:r w:rsidRPr="003F6095">
        <w:rPr>
          <w:i/>
          <w:iCs/>
        </w:rPr>
        <w:t>: Should financial performance be measured on a realized (actual) basis only, or should it be measured as forecast financial performance to the end of some RoLR rate term?</w:t>
      </w:r>
    </w:p>
    <w:sdt>
      <w:sdtPr>
        <w:id w:val="1080864781"/>
        <w:placeholder>
          <w:docPart w:val="DefaultPlaceholder_-1854013440"/>
        </w:placeholder>
        <w:showingPlcHdr/>
      </w:sdtPr>
      <w:sdtEndPr/>
      <w:sdtContent>
        <w:p w14:paraId="0B1E0B42" w14:textId="257D083A" w:rsidR="0063307F" w:rsidRDefault="003F6095" w:rsidP="0063307F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31E4BA0E" w14:textId="77777777" w:rsidR="0063307F" w:rsidRPr="003F6095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Nature</w:t>
      </w:r>
      <w:r w:rsidRPr="003F6095">
        <w:rPr>
          <w:i/>
          <w:iCs/>
        </w:rPr>
        <w:t xml:space="preserve">: What should be measured by financial performance? </w:t>
      </w:r>
    </w:p>
    <w:sdt>
      <w:sdtPr>
        <w:id w:val="1841886914"/>
        <w:placeholder>
          <w:docPart w:val="DefaultPlaceholder_-1854013440"/>
        </w:placeholder>
        <w:showingPlcHdr/>
      </w:sdtPr>
      <w:sdtEndPr/>
      <w:sdtContent>
        <w:p w14:paraId="72F3FC63" w14:textId="731C37EA" w:rsidR="0063307F" w:rsidRDefault="003F6095" w:rsidP="003F6095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2EC26ADA" w14:textId="77777777" w:rsidR="0063307F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Consistency</w:t>
      </w:r>
      <w:r w:rsidRPr="003F6095">
        <w:rPr>
          <w:i/>
          <w:iCs/>
        </w:rPr>
        <w:t>: Should measures of identical structure be used to measure financial performance for all RoLR providers?</w:t>
      </w:r>
    </w:p>
    <w:sdt>
      <w:sdtPr>
        <w:id w:val="1796104393"/>
        <w:placeholder>
          <w:docPart w:val="DefaultPlaceholder_-1854013440"/>
        </w:placeholder>
        <w:showingPlcHdr/>
      </w:sdtPr>
      <w:sdtEndPr/>
      <w:sdtContent>
        <w:p w14:paraId="6D6946F4" w14:textId="23F9C7D9" w:rsidR="003F6095" w:rsidRPr="003F6095" w:rsidRDefault="003F6095" w:rsidP="003F6095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7389F6C6" w14:textId="77777777" w:rsidR="0063307F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Calculation</w:t>
      </w:r>
      <w:r w:rsidRPr="003F6095">
        <w:rPr>
          <w:i/>
          <w:iCs/>
        </w:rPr>
        <w:t>: Should RoLR providers or the MSA calculate financial performance?</w:t>
      </w:r>
    </w:p>
    <w:sdt>
      <w:sdtPr>
        <w:id w:val="868334131"/>
        <w:placeholder>
          <w:docPart w:val="DefaultPlaceholder_-1854013440"/>
        </w:placeholder>
        <w:showingPlcHdr/>
      </w:sdtPr>
      <w:sdtEndPr/>
      <w:sdtContent>
        <w:p w14:paraId="2D94A7E1" w14:textId="50841EC9" w:rsidR="003F6095" w:rsidRPr="003F6095" w:rsidRDefault="003F6095" w:rsidP="003F6095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0ECCF202" w14:textId="77777777" w:rsidR="0063307F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Granularity</w:t>
      </w:r>
      <w:r w:rsidRPr="003F6095">
        <w:rPr>
          <w:i/>
          <w:iCs/>
        </w:rPr>
        <w:t>: In the case of a RoLR provider that serves customers in multiple distribution service areas, should financial performance be calculated at a RoLR provider level, or should multiple measures be used to calculate its financial performance in each distribution service area?</w:t>
      </w:r>
    </w:p>
    <w:sdt>
      <w:sdtPr>
        <w:id w:val="-1977285525"/>
        <w:placeholder>
          <w:docPart w:val="DefaultPlaceholder_-1854013440"/>
        </w:placeholder>
        <w:showingPlcHdr/>
      </w:sdtPr>
      <w:sdtEndPr/>
      <w:sdtContent>
        <w:p w14:paraId="0342F1B9" w14:textId="6727E276" w:rsidR="003F6095" w:rsidRPr="003F6095" w:rsidRDefault="003F6095" w:rsidP="003F6095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676CF5BD" w14:textId="77777777" w:rsidR="0063307F" w:rsidRDefault="0063307F" w:rsidP="0063307F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t>Data</w:t>
      </w:r>
      <w:r w:rsidRPr="003F6095">
        <w:rPr>
          <w:i/>
          <w:iCs/>
        </w:rPr>
        <w:t>: Should specific data be collected from RoLR providers to calculate the measure of financial performance?</w:t>
      </w:r>
    </w:p>
    <w:sdt>
      <w:sdtPr>
        <w:id w:val="-1121688420"/>
        <w:placeholder>
          <w:docPart w:val="DefaultPlaceholder_-1854013440"/>
        </w:placeholder>
        <w:showingPlcHdr/>
      </w:sdtPr>
      <w:sdtEndPr/>
      <w:sdtContent>
        <w:p w14:paraId="421E4E79" w14:textId="03961E15" w:rsidR="003F6095" w:rsidRPr="003F6095" w:rsidRDefault="003F6095" w:rsidP="003F6095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5D40CF1D" w14:textId="516F67AC" w:rsidR="0063307F" w:rsidRDefault="0063307F" w:rsidP="003F6095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3F6095">
        <w:rPr>
          <w:i/>
          <w:iCs/>
          <w:u w:val="single"/>
        </w:rPr>
        <w:lastRenderedPageBreak/>
        <w:t>Exclusions</w:t>
      </w:r>
      <w:r w:rsidRPr="003F6095">
        <w:rPr>
          <w:i/>
          <w:iCs/>
        </w:rPr>
        <w:t>: Should any revenues and/or costs incurred from the provision of RoLR rates or the RRT be excluded from the measure of financial performance?</w:t>
      </w:r>
    </w:p>
    <w:sdt>
      <w:sdtPr>
        <w:id w:val="1237437798"/>
        <w:placeholder>
          <w:docPart w:val="DefaultPlaceholder_-1854013440"/>
        </w:placeholder>
        <w:showingPlcHdr/>
      </w:sdtPr>
      <w:sdtEndPr/>
      <w:sdtContent>
        <w:p w14:paraId="0C62D604" w14:textId="151C8F3E" w:rsidR="003F6095" w:rsidRPr="003F6095" w:rsidRDefault="003F6095" w:rsidP="00545D99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445C612E" w14:textId="7CFB2FBD" w:rsidR="0063307F" w:rsidRDefault="0063307F" w:rsidP="0063307F">
      <w:pPr>
        <w:pStyle w:val="Heading2"/>
      </w:pPr>
      <w:r>
        <w:t>Acceptable Financial Performance Threshold (AFP</w:t>
      </w:r>
      <w:r w:rsidR="00F13DA6">
        <w:t>P</w:t>
      </w:r>
      <w:r>
        <w:t>)</w:t>
      </w:r>
    </w:p>
    <w:p w14:paraId="2E93CF54" w14:textId="4B6362CA" w:rsidR="0063307F" w:rsidRPr="00D02D64" w:rsidRDefault="0063307F" w:rsidP="0063307F">
      <w:pPr>
        <w:pStyle w:val="ListParagraph"/>
        <w:numPr>
          <w:ilvl w:val="0"/>
          <w:numId w:val="9"/>
        </w:numPr>
        <w:contextualSpacing w:val="0"/>
        <w:rPr>
          <w:i/>
          <w:iCs/>
          <w:u w:val="single"/>
        </w:rPr>
      </w:pPr>
      <w:r w:rsidRPr="00D02D64">
        <w:rPr>
          <w:i/>
          <w:iCs/>
          <w:u w:val="single"/>
        </w:rPr>
        <w:t>Magnitude</w:t>
      </w:r>
      <w:r w:rsidRPr="00D02D64">
        <w:rPr>
          <w:i/>
          <w:iCs/>
        </w:rPr>
        <w:t>: How should the magnitude of the AFP</w:t>
      </w:r>
      <w:r w:rsidR="00F13DA6">
        <w:rPr>
          <w:i/>
          <w:iCs/>
        </w:rPr>
        <w:t>P</w:t>
      </w:r>
      <w:r w:rsidRPr="00D02D64">
        <w:rPr>
          <w:i/>
          <w:iCs/>
        </w:rPr>
        <w:t xml:space="preserve"> be determined?</w:t>
      </w:r>
    </w:p>
    <w:sdt>
      <w:sdtPr>
        <w:id w:val="937186032"/>
        <w:placeholder>
          <w:docPart w:val="8A8148CBB903464EB7D6CAD2F2CD9E19"/>
        </w:placeholder>
        <w:showingPlcHdr/>
      </w:sdtPr>
      <w:sdtContent>
        <w:p w14:paraId="5A12C79A" w14:textId="6AA71F5D" w:rsidR="00545D99" w:rsidRPr="007E6E50" w:rsidRDefault="007E6E50" w:rsidP="007E6E50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495C8350" w14:textId="1D2DDC63" w:rsidR="00545D99" w:rsidRPr="00D02D64" w:rsidRDefault="0063307F" w:rsidP="00545D99">
      <w:pPr>
        <w:pStyle w:val="ListParagraph"/>
        <w:numPr>
          <w:ilvl w:val="0"/>
          <w:numId w:val="9"/>
        </w:numPr>
        <w:contextualSpacing w:val="0"/>
        <w:rPr>
          <w:i/>
          <w:iCs/>
          <w:u w:val="single"/>
        </w:rPr>
      </w:pPr>
      <w:r w:rsidRPr="00D02D64">
        <w:rPr>
          <w:i/>
          <w:iCs/>
          <w:u w:val="single"/>
        </w:rPr>
        <w:t>Parallel Application</w:t>
      </w:r>
      <w:r w:rsidRPr="00D02D64">
        <w:rPr>
          <w:i/>
          <w:iCs/>
        </w:rPr>
        <w:t>: Should an AFP</w:t>
      </w:r>
      <w:r w:rsidR="00F13DA6">
        <w:rPr>
          <w:i/>
          <w:iCs/>
        </w:rPr>
        <w:t>P</w:t>
      </w:r>
      <w:r w:rsidRPr="00D02D64">
        <w:rPr>
          <w:i/>
          <w:iCs/>
        </w:rPr>
        <w:t xml:space="preserve"> of identical magnitude be applied to both positive financial performance and negative financial performance?</w:t>
      </w:r>
    </w:p>
    <w:sdt>
      <w:sdtPr>
        <w:id w:val="1644167242"/>
        <w:placeholder>
          <w:docPart w:val="5AB7EF453B6D45A0AF5082164577FE76"/>
        </w:placeholder>
        <w:showingPlcHdr/>
      </w:sdtPr>
      <w:sdtContent>
        <w:p w14:paraId="74FBD6C6" w14:textId="39F12B49" w:rsidR="00545D99" w:rsidRPr="007E6E50" w:rsidRDefault="007E6E50" w:rsidP="007E6E50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5A82C6A1" w14:textId="2D964A4F" w:rsidR="0063307F" w:rsidRPr="00D02D64" w:rsidRDefault="0063307F" w:rsidP="0063307F">
      <w:pPr>
        <w:pStyle w:val="ListParagraph"/>
        <w:numPr>
          <w:ilvl w:val="0"/>
          <w:numId w:val="9"/>
        </w:numPr>
        <w:contextualSpacing w:val="0"/>
        <w:rPr>
          <w:i/>
          <w:iCs/>
          <w:u w:val="single"/>
        </w:rPr>
      </w:pPr>
      <w:r w:rsidRPr="00D02D64">
        <w:rPr>
          <w:i/>
          <w:iCs/>
          <w:u w:val="single"/>
        </w:rPr>
        <w:t>Consistency</w:t>
      </w:r>
      <w:r w:rsidRPr="00D02D64">
        <w:rPr>
          <w:i/>
          <w:iCs/>
        </w:rPr>
        <w:t>: Should the same AFP</w:t>
      </w:r>
      <w:r w:rsidR="00F13DA6">
        <w:rPr>
          <w:i/>
          <w:iCs/>
        </w:rPr>
        <w:t>P</w:t>
      </w:r>
      <w:r w:rsidRPr="00D02D64">
        <w:rPr>
          <w:i/>
          <w:iCs/>
        </w:rPr>
        <w:t xml:space="preserve"> be used to assess financial performance for all RoLR providers?</w:t>
      </w:r>
    </w:p>
    <w:sdt>
      <w:sdtPr>
        <w:id w:val="-1269926390"/>
        <w:placeholder>
          <w:docPart w:val="E8BA0B6B2F98439CB97E8E62DFC7D445"/>
        </w:placeholder>
        <w:showingPlcHdr/>
      </w:sdtPr>
      <w:sdtContent>
        <w:p w14:paraId="36FC402C" w14:textId="1391A663" w:rsidR="00545D99" w:rsidRPr="007E6E50" w:rsidRDefault="007E6E50" w:rsidP="007E6E50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79D54E64" w14:textId="4C74299F" w:rsidR="00545D99" w:rsidRPr="00D02D64" w:rsidRDefault="0063307F" w:rsidP="00545D99">
      <w:pPr>
        <w:pStyle w:val="ListParagraph"/>
        <w:numPr>
          <w:ilvl w:val="0"/>
          <w:numId w:val="9"/>
        </w:numPr>
        <w:contextualSpacing w:val="0"/>
        <w:rPr>
          <w:i/>
          <w:iCs/>
          <w:u w:val="single"/>
        </w:rPr>
      </w:pPr>
      <w:r w:rsidRPr="00D02D64">
        <w:rPr>
          <w:i/>
          <w:iCs/>
          <w:u w:val="single"/>
        </w:rPr>
        <w:t>Number</w:t>
      </w:r>
      <w:r w:rsidRPr="00D02D64">
        <w:rPr>
          <w:i/>
          <w:iCs/>
        </w:rPr>
        <w:t>: Are multiple AFP</w:t>
      </w:r>
      <w:r w:rsidR="00F13DA6">
        <w:rPr>
          <w:i/>
          <w:iCs/>
        </w:rPr>
        <w:t>P</w:t>
      </w:r>
      <w:r w:rsidRPr="00D02D64">
        <w:rPr>
          <w:i/>
          <w:iCs/>
        </w:rPr>
        <w:t xml:space="preserve">s necessary for a single RoLR provider? </w:t>
      </w:r>
    </w:p>
    <w:sdt>
      <w:sdtPr>
        <w:id w:val="854916612"/>
        <w:placeholder>
          <w:docPart w:val="24CCF99BC1DE4F75982847E393D5F23B"/>
        </w:placeholder>
        <w:showingPlcHdr/>
      </w:sdtPr>
      <w:sdtContent>
        <w:p w14:paraId="0250EE75" w14:textId="24433309" w:rsidR="00545D99" w:rsidRPr="007E6E50" w:rsidRDefault="007E6E50" w:rsidP="007E6E50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62BAAD36" w14:textId="19992A43" w:rsidR="0063307F" w:rsidRPr="00D02D64" w:rsidRDefault="0063307F" w:rsidP="00545D99">
      <w:pPr>
        <w:pStyle w:val="ListParagraph"/>
        <w:numPr>
          <w:ilvl w:val="0"/>
          <w:numId w:val="9"/>
        </w:numPr>
        <w:contextualSpacing w:val="0"/>
        <w:rPr>
          <w:i/>
          <w:iCs/>
        </w:rPr>
      </w:pPr>
      <w:r w:rsidRPr="00D02D64">
        <w:rPr>
          <w:i/>
          <w:iCs/>
          <w:u w:val="single"/>
        </w:rPr>
        <w:t>Other Factors</w:t>
      </w:r>
      <w:r w:rsidRPr="00D02D64">
        <w:rPr>
          <w:i/>
          <w:iCs/>
        </w:rPr>
        <w:t>: Should other factors be considered when assessing financial performance?</w:t>
      </w:r>
    </w:p>
    <w:sdt>
      <w:sdtPr>
        <w:id w:val="-1582062718"/>
        <w:placeholder>
          <w:docPart w:val="DefaultPlaceholder_-1854013440"/>
        </w:placeholder>
        <w:showingPlcHdr/>
      </w:sdtPr>
      <w:sdtEndPr/>
      <w:sdtContent>
        <w:p w14:paraId="7B9EC88F" w14:textId="0868D8C0" w:rsidR="00545D99" w:rsidRPr="0063307F" w:rsidRDefault="00545D99" w:rsidP="00545D99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6896F5D5" w14:textId="415E7549" w:rsidR="0063307F" w:rsidRDefault="0063307F" w:rsidP="0063307F">
      <w:pPr>
        <w:pStyle w:val="Heading2"/>
      </w:pPr>
      <w:r>
        <w:t>Financial Performance Reports</w:t>
      </w:r>
    </w:p>
    <w:p w14:paraId="6895D14F" w14:textId="77777777" w:rsidR="0063307F" w:rsidRPr="00D02D64" w:rsidRDefault="0063307F" w:rsidP="0063307F">
      <w:pPr>
        <w:pStyle w:val="ListParagraph"/>
        <w:numPr>
          <w:ilvl w:val="0"/>
          <w:numId w:val="10"/>
        </w:numPr>
        <w:contextualSpacing w:val="0"/>
        <w:rPr>
          <w:i/>
          <w:iCs/>
        </w:rPr>
      </w:pPr>
      <w:r w:rsidRPr="00D02D64">
        <w:rPr>
          <w:i/>
          <w:iCs/>
          <w:u w:val="single"/>
        </w:rPr>
        <w:t>Frequency</w:t>
      </w:r>
      <w:r w:rsidRPr="00D02D64">
        <w:rPr>
          <w:i/>
          <w:iCs/>
        </w:rPr>
        <w:t>: Should the MSA produce financial performance reports more frequently than every six months?</w:t>
      </w:r>
    </w:p>
    <w:sdt>
      <w:sdtPr>
        <w:id w:val="1457752129"/>
        <w:placeholder>
          <w:docPart w:val="DefaultPlaceholder_-1854013440"/>
        </w:placeholder>
        <w:showingPlcHdr/>
      </w:sdtPr>
      <w:sdtEndPr/>
      <w:sdtContent>
        <w:p w14:paraId="294254A4" w14:textId="421AA745" w:rsidR="00545D99" w:rsidRDefault="00545D99" w:rsidP="00545D99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0EFB678C" w14:textId="4283FDD7" w:rsidR="00545D99" w:rsidRPr="00D02D64" w:rsidRDefault="0063307F" w:rsidP="00545D99">
      <w:pPr>
        <w:pStyle w:val="ListParagraph"/>
        <w:numPr>
          <w:ilvl w:val="0"/>
          <w:numId w:val="10"/>
        </w:numPr>
        <w:contextualSpacing w:val="0"/>
        <w:rPr>
          <w:i/>
          <w:iCs/>
        </w:rPr>
      </w:pPr>
      <w:r w:rsidRPr="00D02D64">
        <w:rPr>
          <w:i/>
          <w:iCs/>
          <w:u w:val="single"/>
        </w:rPr>
        <w:t>Confidentiality</w:t>
      </w:r>
      <w:r w:rsidRPr="00D02D64">
        <w:rPr>
          <w:i/>
          <w:iCs/>
        </w:rPr>
        <w:t>: Should reports be made available to the public?</w:t>
      </w:r>
    </w:p>
    <w:sdt>
      <w:sdtPr>
        <w:id w:val="-1650820438"/>
        <w:placeholder>
          <w:docPart w:val="DefaultPlaceholder_-1854013440"/>
        </w:placeholder>
        <w:showingPlcHdr/>
      </w:sdtPr>
      <w:sdtEndPr/>
      <w:sdtContent>
        <w:p w14:paraId="17E01A57" w14:textId="28E470A4" w:rsidR="00545D99" w:rsidRDefault="00545D99" w:rsidP="00545D99">
          <w:pPr>
            <w:pStyle w:val="ListParagraph"/>
            <w:contextualSpacing w:val="0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6A6EC5AC" w14:textId="0D979438" w:rsidR="0063307F" w:rsidRPr="00D02D64" w:rsidRDefault="0063307F" w:rsidP="00545D99">
      <w:pPr>
        <w:pStyle w:val="ListParagraph"/>
        <w:numPr>
          <w:ilvl w:val="0"/>
          <w:numId w:val="10"/>
        </w:numPr>
        <w:contextualSpacing w:val="0"/>
        <w:rPr>
          <w:i/>
          <w:iCs/>
        </w:rPr>
      </w:pPr>
      <w:r w:rsidRPr="00D02D64">
        <w:rPr>
          <w:i/>
          <w:iCs/>
          <w:u w:val="single"/>
        </w:rPr>
        <w:t>Content</w:t>
      </w:r>
      <w:r w:rsidRPr="00D02D64">
        <w:rPr>
          <w:i/>
          <w:iCs/>
        </w:rPr>
        <w:t>: Should information other than the MSA’s assessment of RoLR provider financial performance be included in the reports?</w:t>
      </w:r>
    </w:p>
    <w:sdt>
      <w:sdtPr>
        <w:id w:val="-1634390776"/>
        <w:placeholder>
          <w:docPart w:val="DefaultPlaceholder_-1854013440"/>
        </w:placeholder>
        <w:showingPlcHdr/>
      </w:sdtPr>
      <w:sdtEndPr/>
      <w:sdtContent>
        <w:p w14:paraId="5576FFFE" w14:textId="6B70B5B6" w:rsidR="00545D99" w:rsidRPr="0063307F" w:rsidRDefault="00545D99" w:rsidP="00545D99">
          <w:pPr>
            <w:pStyle w:val="ListParagraph"/>
          </w:pPr>
          <w:r w:rsidRPr="00890172">
            <w:rPr>
              <w:rStyle w:val="PlaceholderText"/>
            </w:rPr>
            <w:t>Click or tap here to enter text.</w:t>
          </w:r>
        </w:p>
      </w:sdtContent>
    </w:sdt>
    <w:p w14:paraId="1ABC81F4" w14:textId="77777777" w:rsidR="0063307F" w:rsidRDefault="0063307F" w:rsidP="0063307F">
      <w:r>
        <w:rPr>
          <w:b/>
          <w:bCs/>
        </w:rPr>
        <w:t>Other Comments</w:t>
      </w:r>
    </w:p>
    <w:p w14:paraId="3AD63100" w14:textId="521A1FCA" w:rsidR="0063307F" w:rsidRDefault="0063307F" w:rsidP="0063307F">
      <w:r>
        <w:t xml:space="preserve">In addition to the above, the MSA invites comments on any other element relating to the </w:t>
      </w:r>
      <w:r w:rsidR="000330CB">
        <w:t>measures</w:t>
      </w:r>
      <w:r>
        <w:t xml:space="preserve"> of financial performance</w:t>
      </w:r>
      <w:r w:rsidR="000330CB">
        <w:t>, the AFPP, or financial performance</w:t>
      </w:r>
      <w:r>
        <w:t xml:space="preserve"> reports.</w:t>
      </w:r>
    </w:p>
    <w:sdt>
      <w:sdtPr>
        <w:id w:val="2089112051"/>
        <w:placeholder>
          <w:docPart w:val="DefaultPlaceholder_-1854013440"/>
        </w:placeholder>
        <w:showingPlcHdr/>
      </w:sdtPr>
      <w:sdtEndPr/>
      <w:sdtContent>
        <w:p w14:paraId="196C0677" w14:textId="0F44814D" w:rsidR="00634A21" w:rsidRPr="009903C4" w:rsidRDefault="00634A21" w:rsidP="0063307F">
          <w:r w:rsidRPr="00890172">
            <w:rPr>
              <w:rStyle w:val="PlaceholderText"/>
            </w:rPr>
            <w:t>Click or tap here to enter text.</w:t>
          </w:r>
        </w:p>
      </w:sdtContent>
    </w:sdt>
    <w:p w14:paraId="08D07217" w14:textId="77777777" w:rsidR="0063307F" w:rsidRDefault="0063307F" w:rsidP="0063307F"/>
    <w:p w14:paraId="5F2E529A" w14:textId="77777777" w:rsidR="0063307F" w:rsidRDefault="0063307F" w:rsidP="0063307F"/>
    <w:p w14:paraId="68B5E709" w14:textId="77777777" w:rsidR="0063307F" w:rsidRDefault="0063307F" w:rsidP="0063307F"/>
    <w:p w14:paraId="66DB21D3" w14:textId="77777777" w:rsidR="0063307F" w:rsidRDefault="0063307F" w:rsidP="0063307F"/>
    <w:p w14:paraId="3E641EB8" w14:textId="77777777" w:rsidR="0063307F" w:rsidRDefault="0063307F" w:rsidP="0063307F"/>
    <w:p w14:paraId="414F58DE" w14:textId="77777777" w:rsidR="0063307F" w:rsidRDefault="0063307F" w:rsidP="0063307F"/>
    <w:p w14:paraId="5692CB57" w14:textId="77777777" w:rsidR="0063307F" w:rsidRDefault="0063307F" w:rsidP="0063307F"/>
    <w:p w14:paraId="1A82B3A3" w14:textId="77777777" w:rsidR="0063307F" w:rsidRDefault="0063307F" w:rsidP="0063307F"/>
    <w:sectPr w:rsidR="0063307F" w:rsidSect="00971D6A"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4CBA" w14:textId="77777777" w:rsidR="002E0A49" w:rsidRDefault="002E0A49" w:rsidP="00FC258D">
      <w:r>
        <w:separator/>
      </w:r>
    </w:p>
  </w:endnote>
  <w:endnote w:type="continuationSeparator" w:id="0">
    <w:p w14:paraId="04DAF79D" w14:textId="77777777" w:rsidR="002E0A49" w:rsidRDefault="002E0A49" w:rsidP="00FC258D">
      <w:r>
        <w:continuationSeparator/>
      </w:r>
    </w:p>
  </w:endnote>
  <w:endnote w:type="continuationNotice" w:id="1">
    <w:p w14:paraId="1ADBA0DE" w14:textId="77777777" w:rsidR="00851F9E" w:rsidRDefault="00851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178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A674D" w14:textId="77777777" w:rsidR="007014DB" w:rsidRDefault="007014DB" w:rsidP="007014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8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628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517A4" w14:textId="77777777" w:rsidR="00A911D4" w:rsidRDefault="00A911D4" w:rsidP="00A911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5285" w14:textId="77777777" w:rsidR="002E0A49" w:rsidRDefault="002E0A49" w:rsidP="00C2130A">
      <w:pPr>
        <w:spacing w:after="0" w:line="240" w:lineRule="auto"/>
      </w:pPr>
      <w:r>
        <w:separator/>
      </w:r>
    </w:p>
  </w:footnote>
  <w:footnote w:type="continuationSeparator" w:id="0">
    <w:p w14:paraId="186D1865" w14:textId="77777777" w:rsidR="002E0A49" w:rsidRDefault="002E0A49" w:rsidP="00FC258D">
      <w:r>
        <w:continuationSeparator/>
      </w:r>
    </w:p>
  </w:footnote>
  <w:footnote w:type="continuationNotice" w:id="1">
    <w:p w14:paraId="391CB939" w14:textId="77777777" w:rsidR="00851F9E" w:rsidRDefault="00851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F07F" w14:textId="7C7C34B3" w:rsidR="00E61EE4" w:rsidRPr="00712456" w:rsidRDefault="007C0697" w:rsidP="00E61EE4">
    <w:pPr>
      <w:pStyle w:val="Header"/>
    </w:pPr>
    <w:r>
      <w:rPr>
        <w:noProof/>
      </w:rPr>
      <w:drawing>
        <wp:inline distT="0" distB="0" distL="0" distR="0" wp14:anchorId="2ECEE92C" wp14:editId="52D401B1">
          <wp:extent cx="2162175" cy="548640"/>
          <wp:effectExtent l="0" t="0" r="9525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51"/>
                  <a:stretch/>
                </pic:blipFill>
                <pic:spPr bwMode="auto">
                  <a:xfrm>
                    <a:off x="0" y="0"/>
                    <a:ext cx="21621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4E0AFB" w14:textId="77777777" w:rsidR="00E124F2" w:rsidRDefault="00E124F2" w:rsidP="00E124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513"/>
    <w:multiLevelType w:val="hybridMultilevel"/>
    <w:tmpl w:val="53B4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25FC"/>
    <w:multiLevelType w:val="hybridMultilevel"/>
    <w:tmpl w:val="6554C7CE"/>
    <w:lvl w:ilvl="0" w:tplc="D36C4C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731DA"/>
    <w:multiLevelType w:val="hybridMultilevel"/>
    <w:tmpl w:val="F376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4160"/>
    <w:multiLevelType w:val="hybridMultilevel"/>
    <w:tmpl w:val="F0AC7574"/>
    <w:lvl w:ilvl="0" w:tplc="DEEEEFCA">
      <w:start w:val="1"/>
      <w:numFmt w:val="decimal"/>
      <w:lvlText w:val="%1."/>
      <w:lvlJc w:val="left"/>
      <w:pPr>
        <w:ind w:left="720" w:hanging="360"/>
      </w:pPr>
    </w:lvl>
    <w:lvl w:ilvl="1" w:tplc="4C4427C2">
      <w:start w:val="1"/>
      <w:numFmt w:val="lowerLetter"/>
      <w:pStyle w:val="List-Numbered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70CD"/>
    <w:multiLevelType w:val="hybridMultilevel"/>
    <w:tmpl w:val="F494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D524A"/>
    <w:multiLevelType w:val="multilevel"/>
    <w:tmpl w:val="AB2E70D8"/>
    <w:lvl w:ilvl="0">
      <w:start w:val="1"/>
      <w:numFmt w:val="upperLetter"/>
      <w:pStyle w:val="Appendix1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74029C"/>
    <w:multiLevelType w:val="multilevel"/>
    <w:tmpl w:val="D39CBB66"/>
    <w:lvl w:ilvl="0">
      <w:start w:val="1"/>
      <w:numFmt w:val="bullet"/>
      <w:pStyle w:val="Lis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14588">
    <w:abstractNumId w:val="6"/>
  </w:num>
  <w:num w:numId="2" w16cid:durableId="256258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9488">
    <w:abstractNumId w:val="1"/>
  </w:num>
  <w:num w:numId="4" w16cid:durableId="1672483323">
    <w:abstractNumId w:val="3"/>
  </w:num>
  <w:num w:numId="5" w16cid:durableId="1055395767">
    <w:abstractNumId w:val="5"/>
  </w:num>
  <w:num w:numId="6" w16cid:durableId="2019237325">
    <w:abstractNumId w:val="6"/>
    <w:lvlOverride w:ilvl="0">
      <w:lvl w:ilvl="0">
        <w:start w:val="1"/>
        <w:numFmt w:val="bullet"/>
        <w:pStyle w:val="List-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7" w16cid:durableId="1317874244">
    <w:abstractNumId w:val="6"/>
  </w:num>
  <w:num w:numId="8" w16cid:durableId="163477065">
    <w:abstractNumId w:val="0"/>
  </w:num>
  <w:num w:numId="9" w16cid:durableId="1649943924">
    <w:abstractNumId w:val="4"/>
  </w:num>
  <w:num w:numId="10" w16cid:durableId="114088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EE"/>
    <w:rsid w:val="000330CB"/>
    <w:rsid w:val="000343CC"/>
    <w:rsid w:val="00041CF9"/>
    <w:rsid w:val="00061734"/>
    <w:rsid w:val="0006190B"/>
    <w:rsid w:val="00076774"/>
    <w:rsid w:val="0009452F"/>
    <w:rsid w:val="000A6A20"/>
    <w:rsid w:val="000B43D1"/>
    <w:rsid w:val="000D0292"/>
    <w:rsid w:val="000E1641"/>
    <w:rsid w:val="000F1963"/>
    <w:rsid w:val="000F4F20"/>
    <w:rsid w:val="00121A72"/>
    <w:rsid w:val="0017561D"/>
    <w:rsid w:val="001803F2"/>
    <w:rsid w:val="001807B1"/>
    <w:rsid w:val="001B0B5E"/>
    <w:rsid w:val="001C5644"/>
    <w:rsid w:val="00227556"/>
    <w:rsid w:val="00235ED6"/>
    <w:rsid w:val="0025390B"/>
    <w:rsid w:val="00257102"/>
    <w:rsid w:val="002834D0"/>
    <w:rsid w:val="002962F0"/>
    <w:rsid w:val="002E0A49"/>
    <w:rsid w:val="002E5052"/>
    <w:rsid w:val="002E6CC8"/>
    <w:rsid w:val="002F0CFB"/>
    <w:rsid w:val="002F2BF6"/>
    <w:rsid w:val="002F5755"/>
    <w:rsid w:val="0030209F"/>
    <w:rsid w:val="003041D5"/>
    <w:rsid w:val="00305DA1"/>
    <w:rsid w:val="003155E7"/>
    <w:rsid w:val="00334316"/>
    <w:rsid w:val="00376443"/>
    <w:rsid w:val="0037659B"/>
    <w:rsid w:val="00383C5D"/>
    <w:rsid w:val="003C17E7"/>
    <w:rsid w:val="003F6095"/>
    <w:rsid w:val="00414EF8"/>
    <w:rsid w:val="004175C1"/>
    <w:rsid w:val="00417B2E"/>
    <w:rsid w:val="00434B82"/>
    <w:rsid w:val="004375B7"/>
    <w:rsid w:val="004529E2"/>
    <w:rsid w:val="00463A71"/>
    <w:rsid w:val="00474B7A"/>
    <w:rsid w:val="00492BD5"/>
    <w:rsid w:val="004A7B5E"/>
    <w:rsid w:val="004D0C4D"/>
    <w:rsid w:val="004D1A28"/>
    <w:rsid w:val="004F2C91"/>
    <w:rsid w:val="00507D93"/>
    <w:rsid w:val="00527B52"/>
    <w:rsid w:val="00536F81"/>
    <w:rsid w:val="0054387D"/>
    <w:rsid w:val="00545D99"/>
    <w:rsid w:val="00561E16"/>
    <w:rsid w:val="005664BD"/>
    <w:rsid w:val="00580874"/>
    <w:rsid w:val="00584C7C"/>
    <w:rsid w:val="00592E6A"/>
    <w:rsid w:val="005B1ADC"/>
    <w:rsid w:val="005D5032"/>
    <w:rsid w:val="005E1FFA"/>
    <w:rsid w:val="0060589F"/>
    <w:rsid w:val="00607666"/>
    <w:rsid w:val="0063307F"/>
    <w:rsid w:val="00634A21"/>
    <w:rsid w:val="00660A37"/>
    <w:rsid w:val="006771A7"/>
    <w:rsid w:val="006D0DBB"/>
    <w:rsid w:val="006D7E5B"/>
    <w:rsid w:val="006E045D"/>
    <w:rsid w:val="007014DB"/>
    <w:rsid w:val="0073520E"/>
    <w:rsid w:val="00741482"/>
    <w:rsid w:val="0077006E"/>
    <w:rsid w:val="007A6D2F"/>
    <w:rsid w:val="007C0697"/>
    <w:rsid w:val="007E6611"/>
    <w:rsid w:val="007E6E50"/>
    <w:rsid w:val="007F600C"/>
    <w:rsid w:val="008111CC"/>
    <w:rsid w:val="008276C5"/>
    <w:rsid w:val="008467AB"/>
    <w:rsid w:val="00851F9E"/>
    <w:rsid w:val="0086678F"/>
    <w:rsid w:val="008772F1"/>
    <w:rsid w:val="00882DF2"/>
    <w:rsid w:val="008B7620"/>
    <w:rsid w:val="008C77C1"/>
    <w:rsid w:val="00916F94"/>
    <w:rsid w:val="00920645"/>
    <w:rsid w:val="0092139E"/>
    <w:rsid w:val="00954269"/>
    <w:rsid w:val="009569EE"/>
    <w:rsid w:val="00967649"/>
    <w:rsid w:val="009716A5"/>
    <w:rsid w:val="00971D6A"/>
    <w:rsid w:val="00991B51"/>
    <w:rsid w:val="009E2840"/>
    <w:rsid w:val="009E327B"/>
    <w:rsid w:val="009E7D67"/>
    <w:rsid w:val="009F162B"/>
    <w:rsid w:val="00A12F88"/>
    <w:rsid w:val="00A911D4"/>
    <w:rsid w:val="00AB1560"/>
    <w:rsid w:val="00AD238D"/>
    <w:rsid w:val="00AE6FDE"/>
    <w:rsid w:val="00AF09F7"/>
    <w:rsid w:val="00B1553E"/>
    <w:rsid w:val="00B17DF7"/>
    <w:rsid w:val="00B4597A"/>
    <w:rsid w:val="00B467FF"/>
    <w:rsid w:val="00B56F86"/>
    <w:rsid w:val="00B57BCE"/>
    <w:rsid w:val="00B97179"/>
    <w:rsid w:val="00BA0486"/>
    <w:rsid w:val="00BB23CA"/>
    <w:rsid w:val="00BB7621"/>
    <w:rsid w:val="00BB7975"/>
    <w:rsid w:val="00BD336B"/>
    <w:rsid w:val="00BE06A1"/>
    <w:rsid w:val="00BE2B02"/>
    <w:rsid w:val="00BE4099"/>
    <w:rsid w:val="00BF5E5E"/>
    <w:rsid w:val="00BF5EC7"/>
    <w:rsid w:val="00C06FD7"/>
    <w:rsid w:val="00C2130A"/>
    <w:rsid w:val="00C63CDF"/>
    <w:rsid w:val="00C9021B"/>
    <w:rsid w:val="00CA4097"/>
    <w:rsid w:val="00CB2178"/>
    <w:rsid w:val="00CE6625"/>
    <w:rsid w:val="00CF75DA"/>
    <w:rsid w:val="00D02D64"/>
    <w:rsid w:val="00D2591F"/>
    <w:rsid w:val="00D54B21"/>
    <w:rsid w:val="00D773E8"/>
    <w:rsid w:val="00D86870"/>
    <w:rsid w:val="00D9254C"/>
    <w:rsid w:val="00D92FDA"/>
    <w:rsid w:val="00DB667C"/>
    <w:rsid w:val="00DD661B"/>
    <w:rsid w:val="00DF746A"/>
    <w:rsid w:val="00E04825"/>
    <w:rsid w:val="00E124F2"/>
    <w:rsid w:val="00E44085"/>
    <w:rsid w:val="00E61EE4"/>
    <w:rsid w:val="00E80FB8"/>
    <w:rsid w:val="00E8798F"/>
    <w:rsid w:val="00EC31C0"/>
    <w:rsid w:val="00EC63A4"/>
    <w:rsid w:val="00ED1955"/>
    <w:rsid w:val="00F13DA6"/>
    <w:rsid w:val="00F410D9"/>
    <w:rsid w:val="00F562B0"/>
    <w:rsid w:val="00F92D18"/>
    <w:rsid w:val="00FA2FFD"/>
    <w:rsid w:val="00FA3E2F"/>
    <w:rsid w:val="00FA7B3D"/>
    <w:rsid w:val="00FB66E1"/>
    <w:rsid w:val="00FC258D"/>
    <w:rsid w:val="00FD0334"/>
    <w:rsid w:val="00FD1308"/>
    <w:rsid w:val="00FE72E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4B4E"/>
  <w15:chartTrackingRefBased/>
  <w15:docId w15:val="{8CAB6F3A-5B36-427B-8336-52241F1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72"/>
    <w:pPr>
      <w:tabs>
        <w:tab w:val="left" w:pos="720"/>
      </w:tabs>
      <w:spacing w:after="240" w:line="276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2FDA"/>
    <w:pPr>
      <w:keepNext/>
      <w:keepLines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1"/>
    <w:qFormat/>
    <w:rsid w:val="00D92FDA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1"/>
    <w:qFormat/>
    <w:rsid w:val="00E04825"/>
    <w:pPr>
      <w:keepNext/>
      <w:keepLines/>
      <w:outlineLvl w:val="2"/>
    </w:pPr>
    <w:rPr>
      <w:b/>
      <w:i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04825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2FDA"/>
    <w:pPr>
      <w:tabs>
        <w:tab w:val="center" w:pos="4680"/>
        <w:tab w:val="left" w:pos="7259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A7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95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A72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92FDA"/>
    <w:pPr>
      <w:keepNext/>
      <w:keepLines/>
      <w:jc w:val="center"/>
    </w:pPr>
    <w:rPr>
      <w:rFonts w:eastAsiaTheme="majorEastAsia"/>
      <w:b/>
      <w:cap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121A72"/>
    <w:rPr>
      <w:rFonts w:ascii="Arial" w:eastAsiaTheme="majorEastAsia" w:hAnsi="Arial" w:cs="Arial"/>
      <w:b/>
      <w:caps/>
      <w:spacing w:val="-10"/>
      <w:kern w:val="28"/>
    </w:rPr>
  </w:style>
  <w:style w:type="table" w:styleId="TableGrid">
    <w:name w:val="Table Grid"/>
    <w:basedOn w:val="TableNormal"/>
    <w:uiPriority w:val="39"/>
    <w:rsid w:val="0095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link w:val="SubjectChar"/>
    <w:uiPriority w:val="3"/>
    <w:qFormat/>
    <w:rsid w:val="00BE4099"/>
    <w:pPr>
      <w:pBdr>
        <w:bottom w:val="single" w:sz="4" w:space="1" w:color="auto"/>
      </w:pBdr>
      <w:ind w:left="720" w:hanging="720"/>
      <w:jc w:val="left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1"/>
    <w:rsid w:val="00121A72"/>
    <w:rPr>
      <w:rFonts w:ascii="Arial" w:hAnsi="Arial" w:cs="Arial"/>
      <w:b/>
      <w:caps/>
    </w:rPr>
  </w:style>
  <w:style w:type="character" w:customStyle="1" w:styleId="SubjectChar">
    <w:name w:val="Subject Char"/>
    <w:basedOn w:val="DefaultParagraphFont"/>
    <w:link w:val="Subject"/>
    <w:uiPriority w:val="3"/>
    <w:rsid w:val="00BE4099"/>
    <w:rPr>
      <w:rFonts w:ascii="Arial" w:hAnsi="Arial" w:cs="Arial"/>
      <w:b/>
    </w:rPr>
  </w:style>
  <w:style w:type="character" w:styleId="FootnoteReference">
    <w:name w:val="footnote reference"/>
    <w:basedOn w:val="DefaultParagraphFont"/>
    <w:uiPriority w:val="99"/>
    <w:semiHidden/>
    <w:rsid w:val="00C63CDF"/>
    <w:rPr>
      <w:vertAlign w:val="superscript"/>
    </w:rPr>
  </w:style>
  <w:style w:type="paragraph" w:customStyle="1" w:styleId="Footnote">
    <w:name w:val="Footnote"/>
    <w:basedOn w:val="FootnoteText"/>
    <w:link w:val="FootnoteChar"/>
    <w:uiPriority w:val="1"/>
    <w:qFormat/>
    <w:rsid w:val="00BE06A1"/>
    <w:pPr>
      <w:tabs>
        <w:tab w:val="clear" w:pos="720"/>
      </w:tabs>
      <w:spacing w:before="120" w:line="276" w:lineRule="auto"/>
    </w:pPr>
    <w:rPr>
      <w:sz w:val="18"/>
      <w:lang w:val="en-CA"/>
    </w:rPr>
  </w:style>
  <w:style w:type="character" w:customStyle="1" w:styleId="FootnoteChar">
    <w:name w:val="Footnote Char"/>
    <w:basedOn w:val="FootnoteTextChar"/>
    <w:link w:val="Footnote"/>
    <w:uiPriority w:val="1"/>
    <w:rsid w:val="00121A72"/>
    <w:rPr>
      <w:rFonts w:ascii="Arial" w:hAnsi="Arial" w:cs="Arial"/>
      <w:sz w:val="18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C63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72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121A72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1"/>
    <w:rsid w:val="00121A72"/>
    <w:rPr>
      <w:rFonts w:ascii="Arial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uiPriority w:val="1"/>
    <w:rsid w:val="00121A72"/>
    <w:rPr>
      <w:rFonts w:ascii="Arial" w:hAnsi="Arial" w:cs="Arial"/>
      <w:i/>
    </w:rPr>
  </w:style>
  <w:style w:type="paragraph" w:customStyle="1" w:styleId="List-Bullet">
    <w:name w:val="List-Bullet"/>
    <w:basedOn w:val="ListParagraph"/>
    <w:link w:val="List-BulletChar"/>
    <w:uiPriority w:val="1"/>
    <w:qFormat/>
    <w:rsid w:val="00FA7B3D"/>
    <w:pPr>
      <w:numPr>
        <w:numId w:val="1"/>
      </w:numPr>
      <w:contextualSpacing w:val="0"/>
    </w:pPr>
    <w:rPr>
      <w:rFonts w:cstheme="minorBidi"/>
      <w:lang w:val="en-CA"/>
    </w:rPr>
  </w:style>
  <w:style w:type="character" w:customStyle="1" w:styleId="List-BulletChar">
    <w:name w:val="List-Bullet Char"/>
    <w:basedOn w:val="DefaultParagraphFont"/>
    <w:link w:val="List-Bullet"/>
    <w:uiPriority w:val="1"/>
    <w:rsid w:val="00FA7B3D"/>
    <w:rPr>
      <w:rFonts w:ascii="Arial" w:hAnsi="Arial"/>
      <w:lang w:val="en-CA"/>
    </w:rPr>
  </w:style>
  <w:style w:type="paragraph" w:styleId="ListParagraph">
    <w:name w:val="List Paragraph"/>
    <w:basedOn w:val="Normal"/>
    <w:uiPriority w:val="34"/>
    <w:qFormat/>
    <w:rsid w:val="00DD661B"/>
    <w:pPr>
      <w:ind w:left="720"/>
      <w:contextualSpacing/>
    </w:pPr>
  </w:style>
  <w:style w:type="paragraph" w:customStyle="1" w:styleId="List-Numbered">
    <w:name w:val="List-Numbered"/>
    <w:basedOn w:val="Normal"/>
    <w:link w:val="List-NumberedChar"/>
    <w:uiPriority w:val="1"/>
    <w:qFormat/>
    <w:rsid w:val="002F0CFB"/>
    <w:pPr>
      <w:numPr>
        <w:ilvl w:val="1"/>
        <w:numId w:val="4"/>
      </w:numPr>
      <w:tabs>
        <w:tab w:val="clear" w:pos="720"/>
        <w:tab w:val="left" w:pos="1440"/>
      </w:tabs>
    </w:pPr>
  </w:style>
  <w:style w:type="character" w:customStyle="1" w:styleId="List-NumberedChar">
    <w:name w:val="List-Numbered Char"/>
    <w:basedOn w:val="DefaultParagraphFont"/>
    <w:link w:val="List-Numbered"/>
    <w:uiPriority w:val="1"/>
    <w:rsid w:val="002F0CFB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qFormat/>
    <w:rsid w:val="0025390B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21A72"/>
    <w:rPr>
      <w:rFonts w:ascii="Arial" w:hAnsi="Arial" w:cs="Arial"/>
      <w:iCs/>
      <w:color w:val="000000" w:themeColor="text1"/>
    </w:rPr>
  </w:style>
  <w:style w:type="paragraph" w:customStyle="1" w:styleId="Subquote">
    <w:name w:val="Subquote"/>
    <w:basedOn w:val="Quote"/>
    <w:qFormat/>
    <w:rsid w:val="0092139E"/>
    <w:pPr>
      <w:ind w:left="1440"/>
    </w:pPr>
  </w:style>
  <w:style w:type="character" w:styleId="Strong">
    <w:name w:val="Strong"/>
    <w:basedOn w:val="DefaultParagraphFont"/>
    <w:uiPriority w:val="2"/>
    <w:qFormat/>
    <w:rsid w:val="00417B2E"/>
    <w:rPr>
      <w:rFonts w:ascii="Arial" w:hAnsi="Arial"/>
      <w:b w:val="0"/>
      <w:bCs/>
      <w:sz w:val="22"/>
      <w:u w:val="single"/>
    </w:rPr>
  </w:style>
  <w:style w:type="character" w:customStyle="1" w:styleId="CaptionChar">
    <w:name w:val="Caption Char"/>
    <w:basedOn w:val="DefaultParagraphFont"/>
    <w:link w:val="Caption"/>
    <w:uiPriority w:val="2"/>
    <w:rsid w:val="00121A72"/>
    <w:rPr>
      <w:rFonts w:ascii="Arial" w:hAnsi="Arial" w:cs="Arial"/>
      <w:i/>
      <w:iCs/>
      <w:szCs w:val="18"/>
    </w:rPr>
  </w:style>
  <w:style w:type="paragraph" w:styleId="Caption">
    <w:name w:val="caption"/>
    <w:basedOn w:val="Normal"/>
    <w:next w:val="Normal"/>
    <w:link w:val="CaptionChar"/>
    <w:uiPriority w:val="3"/>
    <w:qFormat/>
    <w:rsid w:val="004D1A28"/>
    <w:pPr>
      <w:keepNext/>
      <w:keepLines/>
      <w:spacing w:after="120" w:line="240" w:lineRule="auto"/>
      <w:jc w:val="center"/>
    </w:pPr>
    <w:rPr>
      <w:i/>
      <w:iCs/>
      <w:szCs w:val="18"/>
    </w:rPr>
  </w:style>
  <w:style w:type="paragraph" w:customStyle="1" w:styleId="TableNormalText">
    <w:name w:val="Table Normal Text"/>
    <w:basedOn w:val="Normal"/>
    <w:uiPriority w:val="2"/>
    <w:qFormat/>
    <w:rsid w:val="00417B2E"/>
    <w:pPr>
      <w:keepNext/>
      <w:keepLines/>
      <w:framePr w:hSpace="180" w:wrap="around" w:vAnchor="text" w:hAnchor="text" w:xAlign="center" w:y="1"/>
      <w:spacing w:before="20" w:after="20" w:line="240" w:lineRule="auto"/>
      <w:suppressOverlap/>
      <w:jc w:val="right"/>
    </w:pPr>
    <w:rPr>
      <w:sz w:val="20"/>
      <w:szCs w:val="20"/>
    </w:rPr>
  </w:style>
  <w:style w:type="paragraph" w:customStyle="1" w:styleId="TableBoldText">
    <w:name w:val="Table Bold Text"/>
    <w:basedOn w:val="Normal"/>
    <w:uiPriority w:val="2"/>
    <w:qFormat/>
    <w:rsid w:val="00417B2E"/>
    <w:pPr>
      <w:keepNext/>
      <w:keepLines/>
      <w:framePr w:hSpace="180" w:wrap="around" w:vAnchor="text" w:hAnchor="text" w:xAlign="center" w:y="1"/>
      <w:spacing w:before="20" w:after="20" w:line="240" w:lineRule="auto"/>
      <w:suppressOverlap/>
      <w:jc w:val="right"/>
    </w:pPr>
    <w:rPr>
      <w:b/>
      <w:color w:val="000000"/>
      <w:sz w:val="20"/>
      <w:szCs w:val="20"/>
    </w:rPr>
  </w:style>
  <w:style w:type="paragraph" w:customStyle="1" w:styleId="MemoBlock">
    <w:name w:val="Memo Block"/>
    <w:basedOn w:val="Normal"/>
    <w:link w:val="MemoBlockChar"/>
    <w:uiPriority w:val="3"/>
    <w:qFormat/>
    <w:rsid w:val="00592E6A"/>
  </w:style>
  <w:style w:type="paragraph" w:styleId="BalloonText">
    <w:name w:val="Balloon Text"/>
    <w:basedOn w:val="Normal"/>
    <w:link w:val="BalloonTextChar"/>
    <w:uiPriority w:val="99"/>
    <w:semiHidden/>
    <w:rsid w:val="00E0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emoBlockChar">
    <w:name w:val="Memo Block Char"/>
    <w:basedOn w:val="DefaultParagraphFont"/>
    <w:link w:val="MemoBlock"/>
    <w:uiPriority w:val="3"/>
    <w:rsid w:val="00121A72"/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72"/>
    <w:rPr>
      <w:rFonts w:ascii="Segoe UI" w:hAnsi="Segoe UI" w:cs="Segoe UI"/>
      <w:sz w:val="18"/>
      <w:szCs w:val="18"/>
    </w:rPr>
  </w:style>
  <w:style w:type="paragraph" w:customStyle="1" w:styleId="Italicized">
    <w:name w:val="Italicized"/>
    <w:basedOn w:val="Normal"/>
    <w:link w:val="ItalicizedChar"/>
    <w:uiPriority w:val="2"/>
    <w:qFormat/>
    <w:rsid w:val="00E04825"/>
    <w:rPr>
      <w:i/>
    </w:rPr>
  </w:style>
  <w:style w:type="paragraph" w:customStyle="1" w:styleId="Appendix1">
    <w:name w:val="Appendix 1"/>
    <w:basedOn w:val="Heading1"/>
    <w:next w:val="Normal"/>
    <w:link w:val="Appendix1Char"/>
    <w:uiPriority w:val="2"/>
    <w:qFormat/>
    <w:rsid w:val="005D5032"/>
    <w:pPr>
      <w:keepLines w:val="0"/>
      <w:pageBreakBefore/>
      <w:numPr>
        <w:numId w:val="5"/>
      </w:numPr>
      <w:tabs>
        <w:tab w:val="clear" w:pos="720"/>
      </w:tabs>
    </w:pPr>
    <w:rPr>
      <w:rFonts w:eastAsiaTheme="majorEastAsia" w:cstheme="majorBidi"/>
      <w:bCs/>
      <w:szCs w:val="28"/>
      <w:lang w:val="en-CA"/>
    </w:rPr>
  </w:style>
  <w:style w:type="character" w:customStyle="1" w:styleId="ItalicizedChar">
    <w:name w:val="Italicized Char"/>
    <w:basedOn w:val="DefaultParagraphFont"/>
    <w:link w:val="Italicized"/>
    <w:uiPriority w:val="2"/>
    <w:rsid w:val="00121A72"/>
    <w:rPr>
      <w:rFonts w:ascii="Arial" w:hAnsi="Arial" w:cs="Arial"/>
      <w:i/>
    </w:rPr>
  </w:style>
  <w:style w:type="character" w:customStyle="1" w:styleId="Appendix1Char">
    <w:name w:val="Appendix 1 Char"/>
    <w:basedOn w:val="Heading1Char"/>
    <w:link w:val="Appendix1"/>
    <w:uiPriority w:val="2"/>
    <w:rsid w:val="00121A72"/>
    <w:rPr>
      <w:rFonts w:ascii="Arial" w:eastAsiaTheme="majorEastAsia" w:hAnsi="Arial" w:cstheme="majorBidi"/>
      <w:b/>
      <w:bCs/>
      <w:caps/>
      <w:szCs w:val="28"/>
      <w:lang w:val="en-CA"/>
    </w:rPr>
  </w:style>
  <w:style w:type="paragraph" w:customStyle="1" w:styleId="Appendix2">
    <w:name w:val="Appendix 2"/>
    <w:basedOn w:val="Heading2"/>
    <w:next w:val="Normal"/>
    <w:link w:val="Appendix2Char"/>
    <w:uiPriority w:val="2"/>
    <w:qFormat/>
    <w:rsid w:val="001807B1"/>
    <w:pPr>
      <w:numPr>
        <w:ilvl w:val="1"/>
        <w:numId w:val="5"/>
      </w:numPr>
      <w:tabs>
        <w:tab w:val="clear" w:pos="720"/>
      </w:tabs>
      <w:ind w:left="720" w:hanging="720"/>
    </w:pPr>
    <w:rPr>
      <w:rFonts w:eastAsiaTheme="majorEastAsia" w:cstheme="majorBidi"/>
      <w:szCs w:val="26"/>
      <w:lang w:val="en-CA"/>
    </w:rPr>
  </w:style>
  <w:style w:type="character" w:customStyle="1" w:styleId="Appendix2Char">
    <w:name w:val="Appendix 2 Char"/>
    <w:basedOn w:val="Heading2Char"/>
    <w:link w:val="Appendix2"/>
    <w:uiPriority w:val="2"/>
    <w:rsid w:val="00121A72"/>
    <w:rPr>
      <w:rFonts w:ascii="Arial" w:eastAsiaTheme="majorEastAsia" w:hAnsi="Arial" w:cstheme="majorBidi"/>
      <w:b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BE4099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rsid w:val="002F57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755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F5755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916F9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6FD7"/>
    <w:pPr>
      <w:spacing w:after="0" w:line="240" w:lineRule="auto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57B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57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AStakeholderConsultation@albertamsa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bertamsa.ca/assets/Documents/MSA-stakeholder-consultation-on-Rate-of-Last-Resort-Regulation-MSA-activiti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1627-096E-40B6-A32B-6DE1AFE9EA8E}"/>
      </w:docPartPr>
      <w:docPartBody>
        <w:p w:rsidR="00F077A1" w:rsidRDefault="00903D26">
          <w:r w:rsidRPr="0089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D2E87016E41F5B9EEEA958DFD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7CF7-F199-42AB-A659-CAD2B736A2CF}"/>
      </w:docPartPr>
      <w:docPartBody>
        <w:p w:rsidR="00F077A1" w:rsidRDefault="00903D26" w:rsidP="00903D26">
          <w:pPr>
            <w:pStyle w:val="682D2E87016E41F5B9EEEA958DFDAA34"/>
          </w:pPr>
          <w:r>
            <w:rPr>
              <w:rStyle w:val="PlaceholderText"/>
            </w:rPr>
            <w:t>MMMM DD, YYYY</w:t>
          </w:r>
        </w:p>
      </w:docPartBody>
    </w:docPart>
    <w:docPart>
      <w:docPartPr>
        <w:name w:val="8A8148CBB903464EB7D6CAD2F2CD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D223-AACE-45FD-A464-1566F7C055EF}"/>
      </w:docPartPr>
      <w:docPartBody>
        <w:p w:rsidR="00100E78" w:rsidRDefault="00100E78" w:rsidP="00100E78">
          <w:pPr>
            <w:pStyle w:val="8A8148CBB903464EB7D6CAD2F2CD9E19"/>
          </w:pPr>
          <w:r w:rsidRPr="0089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7EF453B6D45A0AF5082164577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CB80-F16D-46E7-BDB6-0B00946F6329}"/>
      </w:docPartPr>
      <w:docPartBody>
        <w:p w:rsidR="00100E78" w:rsidRDefault="00100E78" w:rsidP="00100E78">
          <w:pPr>
            <w:pStyle w:val="5AB7EF453B6D45A0AF5082164577FE76"/>
          </w:pPr>
          <w:r w:rsidRPr="0089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A0B6B2F98439CB97E8E62DFC7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AF5F-73A2-4771-87B8-2277622E4B46}"/>
      </w:docPartPr>
      <w:docPartBody>
        <w:p w:rsidR="00100E78" w:rsidRDefault="00100E78" w:rsidP="00100E78">
          <w:pPr>
            <w:pStyle w:val="E8BA0B6B2F98439CB97E8E62DFC7D445"/>
          </w:pPr>
          <w:r w:rsidRPr="00890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CF99BC1DE4F75982847E393D5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EC89-F73B-4F5C-A4E7-3039C3ACD2D5}"/>
      </w:docPartPr>
      <w:docPartBody>
        <w:p w:rsidR="00100E78" w:rsidRDefault="00100E78" w:rsidP="00100E78">
          <w:pPr>
            <w:pStyle w:val="24CCF99BC1DE4F75982847E393D5F23B"/>
          </w:pPr>
          <w:r w:rsidRPr="00890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26"/>
    <w:rsid w:val="00100E78"/>
    <w:rsid w:val="003C74DB"/>
    <w:rsid w:val="00433D3A"/>
    <w:rsid w:val="00711EA2"/>
    <w:rsid w:val="00903D26"/>
    <w:rsid w:val="00F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26"/>
    <w:pPr>
      <w:spacing w:before="200" w:after="120" w:line="240" w:lineRule="auto"/>
      <w:contextualSpacing/>
      <w:jc w:val="both"/>
    </w:pPr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3D26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100E78"/>
    <w:rPr>
      <w:color w:val="808080"/>
    </w:rPr>
  </w:style>
  <w:style w:type="paragraph" w:customStyle="1" w:styleId="682D2E87016E41F5B9EEEA958DFDAA34">
    <w:name w:val="682D2E87016E41F5B9EEEA958DFDAA34"/>
    <w:rsid w:val="00903D26"/>
  </w:style>
  <w:style w:type="paragraph" w:customStyle="1" w:styleId="A04D7B4FBF5F44FFBA4958D89FC7380C">
    <w:name w:val="A04D7B4FBF5F44FFBA4958D89FC7380C"/>
    <w:rsid w:val="00100E78"/>
    <w:rPr>
      <w:kern w:val="2"/>
      <w14:ligatures w14:val="standardContextual"/>
    </w:rPr>
  </w:style>
  <w:style w:type="paragraph" w:customStyle="1" w:styleId="8A8148CBB903464EB7D6CAD2F2CD9E19">
    <w:name w:val="8A8148CBB903464EB7D6CAD2F2CD9E19"/>
    <w:rsid w:val="00100E78"/>
    <w:rPr>
      <w:kern w:val="2"/>
      <w14:ligatures w14:val="standardContextual"/>
    </w:rPr>
  </w:style>
  <w:style w:type="paragraph" w:customStyle="1" w:styleId="5AB7EF453B6D45A0AF5082164577FE76">
    <w:name w:val="5AB7EF453B6D45A0AF5082164577FE76"/>
    <w:rsid w:val="00100E78"/>
    <w:rPr>
      <w:kern w:val="2"/>
      <w14:ligatures w14:val="standardContextual"/>
    </w:rPr>
  </w:style>
  <w:style w:type="paragraph" w:customStyle="1" w:styleId="E8BA0B6B2F98439CB97E8E62DFC7D445">
    <w:name w:val="E8BA0B6B2F98439CB97E8E62DFC7D445"/>
    <w:rsid w:val="00100E78"/>
    <w:rPr>
      <w:kern w:val="2"/>
      <w14:ligatures w14:val="standardContextual"/>
    </w:rPr>
  </w:style>
  <w:style w:type="paragraph" w:customStyle="1" w:styleId="24CCF99BC1DE4F75982847E393D5F23B">
    <w:name w:val="24CCF99BC1DE4F75982847E393D5F23B"/>
    <w:rsid w:val="00100E7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5D7799FEBDF4F922FBE53FE71F68F" ma:contentTypeVersion="25" ma:contentTypeDescription="Create a new document." ma:contentTypeScope="" ma:versionID="cf5c68614165db38b4ee4fbf50d7bb71">
  <xsd:schema xmlns:xsd="http://www.w3.org/2001/XMLSchema" xmlns:xs="http://www.w3.org/2001/XMLSchema" xmlns:p="http://schemas.microsoft.com/office/2006/metadata/properties" xmlns:ns2="c64d5540-c1bc-4e00-867f-95ed77b439b3" xmlns:ns3="2571a14c-1e9e-4d9d-b707-5ab1df0777e5" xmlns:ns4="1b3e3a01-8c58-4432-a730-941c041acdfe" targetNamespace="http://schemas.microsoft.com/office/2006/metadata/properties" ma:root="true" ma:fieldsID="c163d4a3c3f36c72adf0d591ae401601" ns2:_="" ns3:_="" ns4:_="">
    <xsd:import namespace="c64d5540-c1bc-4e00-867f-95ed77b439b3"/>
    <xsd:import namespace="2571a14c-1e9e-4d9d-b707-5ab1df0777e5"/>
    <xsd:import namespace="1b3e3a01-8c58-4432-a730-941c041acdfe"/>
    <xsd:element name="properties">
      <xsd:complexType>
        <xsd:sequence>
          <xsd:element name="documentManagement">
            <xsd:complexType>
              <xsd:all>
                <xsd:element ref="ns2:Relevant_x0020_Rule_x0020_or_x0020_Legislation" minOccurs="0"/>
                <xsd:element ref="ns3:Compliance_x0020_Category"/>
                <xsd:element ref="ns3:Security_x0020_Classification"/>
                <xsd:element ref="ns3:Document_x0020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Matter_x0020_Status"/>
                <xsd:element ref="ns4:MatterID_Auto_Flow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d5540-c1bc-4e00-867f-95ed77b439b3" elementFormDefault="qualified">
    <xsd:import namespace="http://schemas.microsoft.com/office/2006/documentManagement/types"/>
    <xsd:import namespace="http://schemas.microsoft.com/office/infopath/2007/PartnerControls"/>
    <xsd:element name="Relevant_x0020_Rule_x0020_or_x0020_Legislation" ma:index="8" nillable="true" ma:displayName="Relevant Rule or Legislation" ma:description="Relevant Rule or Legislation" ma:internalName="Relevant_x0020_Rule_x0020_or_x0020_Legislation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a14c-1e9e-4d9d-b707-5ab1df0777e5" elementFormDefault="qualified">
    <xsd:import namespace="http://schemas.microsoft.com/office/2006/documentManagement/types"/>
    <xsd:import namespace="http://schemas.microsoft.com/office/infopath/2007/PartnerControls"/>
    <xsd:element name="Compliance_x0020_Category" ma:index="9" ma:displayName="Category" ma:default="General" ma:format="Dropdown" ma:indexed="true" ma:internalName="Compliance_x0020_Category" ma:readOnly="false">
      <xsd:simpleType>
        <xsd:restriction base="dms:Choice">
          <xsd:enumeration value="Monitoring"/>
          <xsd:enumeration value="Investigation"/>
          <xsd:enumeration value="Enforcement"/>
          <xsd:enumeration value="General"/>
        </xsd:restriction>
      </xsd:simpleType>
    </xsd:element>
    <xsd:element name="Security_x0020_Classification" ma:index="10" ma:displayName="Security Classification" ma:default="Protected" ma:format="Dropdown" ma:internalName="Security_x0020_Classification" ma:readOnly="false">
      <xsd:simpleType>
        <xsd:restriction base="dms:Choice">
          <xsd:enumeration value="Unrestricted"/>
          <xsd:enumeration value="Protected"/>
          <xsd:enumeration value="Confidential"/>
          <xsd:enumeration value="Restricted"/>
        </xsd:restriction>
      </xsd:simpleType>
    </xsd:element>
    <xsd:element name="Document_x0020_Type" ma:index="11" nillable="true" ma:displayName="Document Type" ma:format="Dropdown" ma:internalName="Document_x0020_Type" ma:readOnly="false">
      <xsd:simpleType>
        <xsd:restriction base="dms:Choice">
          <xsd:enumeration value="Briefing Note"/>
          <xsd:enumeration value="Communication"/>
          <xsd:enumeration value="Data"/>
          <xsd:enumeration value="Documentation"/>
          <xsd:enumeration value="Facts and Findings"/>
          <xsd:enumeration value="Information Request"/>
          <xsd:enumeration value="IR Response"/>
          <xsd:enumeration value="Issue Assessment"/>
          <xsd:enumeration value="Meeting Notes"/>
          <xsd:enumeration value="Memo"/>
          <xsd:enumeration value="Notice"/>
          <xsd:enumeration value="Publication"/>
          <xsd:enumeration value="Publication Checklist"/>
          <xsd:enumeration value="Policy"/>
          <xsd:enumeration value="Resolution"/>
          <xsd:enumeration value="Submission"/>
        </xsd:restriction>
      </xsd:simpleType>
    </xsd:element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atter_x0020_Status" ma:index="23" ma:displayName="Matter Status" ma:default="Active" ma:description="MSA status column" ma:format="Dropdown" ma:indexed="true" ma:internalName="Matter_x0020_Status" ma:readOnly="false">
      <xsd:simpleType>
        <xsd:restriction base="dms:Choice">
          <xsd:enumeration value="Active"/>
          <xsd:enumeration value="Closed"/>
          <xsd:enumeration value="On Hold"/>
        </xsd:restriction>
      </xsd:simpleType>
    </xsd:element>
    <xsd:element name="TaxCatchAll" ma:index="27" nillable="true" ma:displayName="Taxonomy Catch All Column" ma:hidden="true" ma:list="{b1b5df77-eeea-41db-89e3-f3706f41ba35}" ma:internalName="TaxCatchAll" ma:showField="CatchAllData" ma:web="2571a14c-1e9e-4d9d-b707-5ab1df077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3a01-8c58-4432-a730-941c041acd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atterID_Auto_Flow" ma:index="24" nillable="true" ma:displayName="MatterID Auto Flow" ma:internalName="MatterID_Auto_Flow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07d0f35-55dc-4825-9d65-a41e4d104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2571a14c-1e9e-4d9d-b707-5ab1df0777e5">Protected</Security_x0020_Classification>
    <Document_x0020_Type xmlns="2571a14c-1e9e-4d9d-b707-5ab1df0777e5" xsi:nil="true"/>
    <Relevant_x0020_Rule_x0020_or_x0020_Legislation xmlns="c64d5540-c1bc-4e00-867f-95ed77b439b3" xsi:nil="true"/>
    <Compliance_x0020_Category xmlns="2571a14c-1e9e-4d9d-b707-5ab1df0777e5">Monitoring</Compliance_x0020_Category>
    <MatterID_Auto_Flow xmlns="1b3e3a01-8c58-4432-a730-941c041acdfe" xsi:nil="true"/>
    <TaxCatchAll xmlns="2571a14c-1e9e-4d9d-b707-5ab1df0777e5" xsi:nil="true"/>
    <Matter_x0020_Status xmlns="2571a14c-1e9e-4d9d-b707-5ab1df0777e5">Active</Matter_x0020_Status>
    <lcf76f155ced4ddcb4097134ff3c332f xmlns="1b3e3a01-8c58-4432-a730-941c041acd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D707-D847-4FB2-80AC-B62125A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d5540-c1bc-4e00-867f-95ed77b439b3"/>
    <ds:schemaRef ds:uri="2571a14c-1e9e-4d9d-b707-5ab1df0777e5"/>
    <ds:schemaRef ds:uri="1b3e3a01-8c58-4432-a730-941c041ac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F129D-446E-4C3A-934B-910F56D250F9}">
  <ds:schemaRefs>
    <ds:schemaRef ds:uri="c64d5540-c1bc-4e00-867f-95ed77b439b3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b3e3a01-8c58-4432-a730-941c041acdfe"/>
    <ds:schemaRef ds:uri="2571a14c-1e9e-4d9d-b707-5ab1df0777e5"/>
  </ds:schemaRefs>
</ds:datastoreItem>
</file>

<file path=customXml/itemProps3.xml><?xml version="1.0" encoding="utf-8"?>
<ds:datastoreItem xmlns:ds="http://schemas.openxmlformats.org/officeDocument/2006/customXml" ds:itemID="{77846992-6684-42E7-83D9-1377D2F88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74B8F-F636-4321-A73E-A239711F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</Company>
  <LinksUpToDate>false</LinksUpToDate>
  <CharactersWithSpaces>4310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mailto:MSAStakeholderConsultation@albertamsa.ca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October</dc:creator>
  <cp:keywords/>
  <dc:description/>
  <cp:lastModifiedBy>James Conville</cp:lastModifiedBy>
  <cp:revision>49</cp:revision>
  <cp:lastPrinted>2023-12-07T18:15:00Z</cp:lastPrinted>
  <dcterms:created xsi:type="dcterms:W3CDTF">2024-12-16T17:33:00Z</dcterms:created>
  <dcterms:modified xsi:type="dcterms:W3CDTF">2024-12-20T20:38:00Z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0x010100C2C5D7799FEBDF4F922FBE53FE71F68F</vt:lpwstr>
  </property>
  <property fmtid="{D5CDD505-2E9C-101B-9397-08002B2CF9AE}" pid="3" name="MediaServiceImageTags">
    <vt:lpwstr/>
  </property>
</Properties>
</file>